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791" w:rsidRPr="005437E2" w:rsidRDefault="00A44791" w:rsidP="00A44791">
      <w:pPr>
        <w:spacing w:after="0" w:line="240" w:lineRule="auto"/>
        <w:ind w:firstLine="6237"/>
        <w:rPr>
          <w:rFonts w:ascii="Times New Roman" w:hAnsi="Times New Roman" w:cs="Times New Roman"/>
          <w:b/>
        </w:rPr>
      </w:pPr>
    </w:p>
    <w:p w:rsidR="00A44791" w:rsidRPr="005437E2" w:rsidRDefault="00A44791" w:rsidP="00A44791">
      <w:pPr>
        <w:spacing w:after="0" w:line="240" w:lineRule="auto"/>
        <w:ind w:firstLine="6237"/>
        <w:rPr>
          <w:rFonts w:ascii="Times New Roman" w:hAnsi="Times New Roman" w:cs="Times New Roman"/>
          <w:b/>
        </w:rPr>
      </w:pPr>
    </w:p>
    <w:p w:rsidR="00A44791" w:rsidRPr="005437E2" w:rsidRDefault="00A44791" w:rsidP="00A44791">
      <w:pPr>
        <w:spacing w:after="0" w:line="240" w:lineRule="auto"/>
        <w:ind w:firstLine="567"/>
        <w:jc w:val="center"/>
        <w:rPr>
          <w:rFonts w:ascii="Times New Roman" w:hAnsi="Times New Roman" w:cs="Times New Roman"/>
          <w:b/>
        </w:rPr>
      </w:pPr>
      <w:r w:rsidRPr="005437E2">
        <w:rPr>
          <w:rFonts w:ascii="Times New Roman" w:hAnsi="Times New Roman" w:cs="Times New Roman"/>
          <w:b/>
        </w:rPr>
        <w:t xml:space="preserve">СОБСТВЕННЫЙ ПЕРЕЧЕНЬ </w:t>
      </w:r>
    </w:p>
    <w:p w:rsidR="00081881" w:rsidRDefault="00A44791" w:rsidP="00A44791">
      <w:pPr>
        <w:spacing w:after="0" w:line="240" w:lineRule="auto"/>
        <w:ind w:firstLine="567"/>
        <w:jc w:val="center"/>
        <w:rPr>
          <w:rFonts w:ascii="Times New Roman" w:hAnsi="Times New Roman" w:cs="Times New Roman"/>
          <w:b/>
        </w:rPr>
      </w:pPr>
      <w:r w:rsidRPr="005437E2">
        <w:rPr>
          <w:rFonts w:ascii="Times New Roman" w:hAnsi="Times New Roman" w:cs="Times New Roman"/>
          <w:b/>
        </w:rPr>
        <w:t xml:space="preserve">ИНСАЙДЕРСКОЙ ИНФОРМАЦИИ </w:t>
      </w:r>
    </w:p>
    <w:p w:rsidR="00A44791" w:rsidRDefault="00F906C8" w:rsidP="00A44791">
      <w:pPr>
        <w:spacing w:after="0" w:line="240" w:lineRule="auto"/>
        <w:ind w:firstLine="567"/>
        <w:jc w:val="center"/>
        <w:rPr>
          <w:rFonts w:ascii="Times New Roman" w:hAnsi="Times New Roman" w:cs="Times New Roman"/>
          <w:b/>
        </w:rPr>
      </w:pPr>
      <w:r>
        <w:rPr>
          <w:rFonts w:ascii="Times New Roman" w:hAnsi="Times New Roman" w:cs="Times New Roman"/>
          <w:b/>
        </w:rPr>
        <w:t>ООО</w:t>
      </w:r>
      <w:r w:rsidR="00512762">
        <w:rPr>
          <w:rFonts w:ascii="Times New Roman" w:hAnsi="Times New Roman" w:cs="Times New Roman"/>
          <w:b/>
        </w:rPr>
        <w:t xml:space="preserve"> </w:t>
      </w:r>
      <w:r w:rsidR="00861418">
        <w:rPr>
          <w:rFonts w:ascii="Times New Roman" w:hAnsi="Times New Roman" w:cs="Times New Roman"/>
          <w:b/>
        </w:rPr>
        <w:t>«</w:t>
      </w:r>
      <w:proofErr w:type="spellStart"/>
      <w:r w:rsidR="00FE490F">
        <w:rPr>
          <w:rFonts w:ascii="Times New Roman" w:hAnsi="Times New Roman" w:cs="Times New Roman"/>
          <w:b/>
        </w:rPr>
        <w:t>АгроКлуб</w:t>
      </w:r>
      <w:proofErr w:type="spellEnd"/>
      <w:r w:rsidR="00AA350D">
        <w:rPr>
          <w:rFonts w:ascii="Times New Roman" w:hAnsi="Times New Roman" w:cs="Times New Roman"/>
          <w:b/>
        </w:rPr>
        <w:t>»</w:t>
      </w:r>
      <w:r w:rsidR="00B31411">
        <w:rPr>
          <w:rFonts w:ascii="Times New Roman" w:hAnsi="Times New Roman" w:cs="Times New Roman"/>
          <w:b/>
        </w:rPr>
        <w:t xml:space="preserve"> (ИНН: </w:t>
      </w:r>
      <w:r w:rsidR="00FE490F" w:rsidRPr="00FE490F">
        <w:rPr>
          <w:rFonts w:ascii="Times New Roman" w:hAnsi="Times New Roman" w:cs="Times New Roman"/>
          <w:b/>
          <w:bCs/>
        </w:rPr>
        <w:t>3662263913</w:t>
      </w:r>
      <w:bookmarkStart w:id="0" w:name="_GoBack"/>
      <w:bookmarkEnd w:id="0"/>
      <w:r w:rsidR="00E66C29">
        <w:rPr>
          <w:rFonts w:ascii="Times New Roman" w:hAnsi="Times New Roman" w:cs="Times New Roman"/>
          <w:b/>
        </w:rPr>
        <w:t>, далее - Общество</w:t>
      </w:r>
      <w:r w:rsidR="00B31411">
        <w:rPr>
          <w:rFonts w:ascii="Times New Roman" w:hAnsi="Times New Roman" w:cs="Times New Roman"/>
          <w:b/>
        </w:rPr>
        <w:t>)</w:t>
      </w:r>
    </w:p>
    <w:p w:rsidR="004436A1" w:rsidRPr="005437E2" w:rsidRDefault="004436A1" w:rsidP="00A44791">
      <w:pPr>
        <w:spacing w:after="0" w:line="240" w:lineRule="auto"/>
        <w:ind w:firstLine="567"/>
        <w:jc w:val="center"/>
        <w:rPr>
          <w:rFonts w:ascii="Times New Roman" w:hAnsi="Times New Roman" w:cs="Times New Roman"/>
          <w:b/>
        </w:rPr>
      </w:pPr>
    </w:p>
    <w:p w:rsidR="00A44791" w:rsidRPr="005437E2" w:rsidRDefault="00A44791" w:rsidP="00A44791">
      <w:pPr>
        <w:spacing w:after="0" w:line="240" w:lineRule="auto"/>
        <w:ind w:firstLine="567"/>
        <w:jc w:val="center"/>
        <w:rPr>
          <w:rFonts w:ascii="Times New Roman" w:hAnsi="Times New Roman" w:cs="Times New Roman"/>
          <w:b/>
        </w:rPr>
      </w:pPr>
    </w:p>
    <w:p w:rsidR="007B5B32" w:rsidRPr="005437E2" w:rsidRDefault="007B5B32" w:rsidP="00543891">
      <w:pPr>
        <w:jc w:val="both"/>
        <w:rPr>
          <w:rFonts w:ascii="Times New Roman" w:eastAsia="Times New Roman" w:hAnsi="Times New Roman" w:cs="Times New Roman"/>
          <w:b/>
          <w:lang w:eastAsia="ru-RU"/>
        </w:rPr>
      </w:pPr>
      <w:r w:rsidRPr="005437E2">
        <w:rPr>
          <w:rFonts w:ascii="Times New Roman" w:eastAsia="Times New Roman" w:hAnsi="Times New Roman" w:cs="Times New Roman"/>
          <w:b/>
          <w:lang w:eastAsia="ru-RU"/>
        </w:rPr>
        <w:t xml:space="preserve">Инсайдерская информация Общества </w:t>
      </w:r>
    </w:p>
    <w:p w:rsidR="002A4A96" w:rsidRPr="005437E2" w:rsidRDefault="002A4A96" w:rsidP="002A4A96">
      <w:pPr>
        <w:jc w:val="both"/>
        <w:rPr>
          <w:rFonts w:ascii="Times New Roman" w:eastAsia="Times New Roman" w:hAnsi="Times New Roman" w:cs="Times New Roman"/>
          <w:lang w:eastAsia="ru-RU"/>
        </w:rPr>
      </w:pPr>
      <w:r w:rsidRPr="005437E2">
        <w:rPr>
          <w:rFonts w:ascii="Times New Roman" w:eastAsia="Times New Roman" w:hAnsi="Times New Roman" w:cs="Times New Roman"/>
          <w:lang w:eastAsia="ru-RU"/>
        </w:rPr>
        <w:t>К инсайдерской информации Общества как эмитента, эмиссионные ценные бумаги которого допущены к организованным торгам, или в отношении эмиссионных ценных бумаг которого подана заявка о допуске к организованным торгам, относится:</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созыве и проведении общего собрания участников (акционеров) эмитента, об объявлении общего собрания участников (акционеров) эмитента несостоявшимся, а также о решениях, принятых общим собранием участников (акционеров) эмитента или единственным участником (лицом, которому принадлежат все голосующие акции)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принятии решения о реорганизации или ликвидации лица, предоставившего обеспечение по облигациям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 xml:space="preserve">Информация о появлении у эмитента или лица, предоставившего обеспечение по облигациям эмитента, признаков банкротства, предусмотренных Федеральным законом от 26 октября 2002 года N 127-ФЗ "О несостоятельности (банкротстве)" </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принятии арбитражным судом заявления о признании эмитента несостоятельным (банкротом), а также о принятии арбитражным судом решения о признании эмитента несостоятельным (банкротом), введении в отношении эмитента одной из процедур банкротства, прекращении в отношении эмитента производства по делу о банкротстве</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дате, на которую определяются (фиксируются) лица, имеющие право на осуществление прав по ценным бумагам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об этапах процедуры эмиссии ценных бумаг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приостановлении и возобновлении эмиссии ценных бумаг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признании программы облигаций несостоявшейся, о признании выпуска (дополнительного выпуска) ценных бумаг эмитента несостоявшимся или недействительным</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погашении ценных бумаг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регистрации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принятии решения о приобретении (наступлении оснований для приобретения) эмитентом размещенных им ценных бумаг</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начисленных (объявленных) и (или) выплаченных доходах по ценным бумагам эмитента, об иных выплатах, причитающихся владельцам ценных бумаг эмитента, а также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включении ценных бумаг эмитента российским организатором торговли в список ценных бумаг, допущенных к организованным торгам для заключения договоров купли-продажи, в том числе о включении ценных бумаг эмитента российской биржей в котировальный список, или об исключении ценных бумаг эмитента российским организатором торговли из списка ценных бумаг, допущенных к организованным торгам для заключения договоров купли-продажи, в том числе об исключении ценных бумаг эмитента российской биржей из котировального списка, а также о переводе ценных бумаг эмитента из одного котировального списка в другой котировальный список (об исключении ценных бумаг эмитента из одного котировального списка и о включении их в другой котировальный список)</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 xml:space="preserve">Информация о включении ценных бумаг эмитента (ценных бумаг иностранной организации, удостоверяющих права в отношении ценных бумаг российских эмитентов (далее - депозитарные ценные бумаги) в список ценных бумаг, допущенных к торгам на иностранном организованном </w:t>
      </w:r>
      <w:r w:rsidRPr="009C3CC2">
        <w:rPr>
          <w:rFonts w:ascii="Times New Roman" w:hAnsi="Times New Roman" w:cs="Times New Roman"/>
        </w:rPr>
        <w:lastRenderedPageBreak/>
        <w:t>(регулируемом) финансовом рынке, в том числе о включении указанных ценных бумаг иностранной биржей в котировальный список, и об исключении ценных бумаг эмитента (депозитарных ценных бумаг) из списка ценных бумаг, допущенных к торгам на иностранном организованном (регулируемом) финансовом рынке, в том числе об исключении указанных ценных бумаг иностранной биржей из котировального списка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неисполнении обязательств эмитента перед владельцами его ценных бумаг</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эмитента, распоряжаться определенным количеством голосов, приходящихся на голосующие акции (доли), составляющие уставный капитал эмитента,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выявлении ошибок в ранее раскрытой отчетности эмитента (бухгалтерской (финансовой) отчетности, консолидированной финансовой отчетности, финансовой отчетности)</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 xml:space="preserve">Информация о совершении эмитентом или подконтрольной эмитенту организацией, имеющей для него существенное значение, определяемой в соответствии с пунктом 1.14 Положения Банка России </w:t>
      </w:r>
      <w:r>
        <w:rPr>
          <w:rFonts w:ascii="Times New Roman" w:hAnsi="Times New Roman" w:cs="Times New Roman"/>
        </w:rPr>
        <w:t xml:space="preserve">от 27 марта 2020 года </w:t>
      </w:r>
      <w:r w:rsidRPr="009C3CC2">
        <w:rPr>
          <w:rFonts w:ascii="Times New Roman" w:hAnsi="Times New Roman" w:cs="Times New Roman"/>
        </w:rPr>
        <w:t>N 714-П</w:t>
      </w:r>
      <w:r>
        <w:rPr>
          <w:rFonts w:ascii="Times New Roman" w:hAnsi="Times New Roman" w:cs="Times New Roman"/>
        </w:rPr>
        <w:t xml:space="preserve"> «О раскрытии информации эмитентами эмиссионных ценных бумаг» (далее - </w:t>
      </w:r>
      <w:r w:rsidRPr="009C3CC2">
        <w:rPr>
          <w:rFonts w:ascii="Times New Roman" w:hAnsi="Times New Roman" w:cs="Times New Roman"/>
        </w:rPr>
        <w:t>Положени</w:t>
      </w:r>
      <w:r>
        <w:rPr>
          <w:rFonts w:ascii="Times New Roman" w:hAnsi="Times New Roman" w:cs="Times New Roman"/>
        </w:rPr>
        <w:t>е</w:t>
      </w:r>
      <w:r w:rsidRPr="009C3CC2">
        <w:rPr>
          <w:rFonts w:ascii="Times New Roman" w:hAnsi="Times New Roman" w:cs="Times New Roman"/>
        </w:rPr>
        <w:t xml:space="preserve"> Банка России N 714-П</w:t>
      </w:r>
      <w:r>
        <w:rPr>
          <w:rFonts w:ascii="Times New Roman" w:hAnsi="Times New Roman" w:cs="Times New Roman"/>
        </w:rPr>
        <w:t>)</w:t>
      </w:r>
      <w:r w:rsidRPr="009C3CC2">
        <w:rPr>
          <w:rFonts w:ascii="Times New Roman" w:hAnsi="Times New Roman" w:cs="Times New Roman"/>
        </w:rPr>
        <w:t xml:space="preserve"> (далее - подконтрольная эмитенту организация, имеющая для него существенное значение), сделки, размер которой составляет 10 и более процентов балансовой стоимости активов эмитента или подконтрольной эмитенту организации, имеющей для него существенное значение, по данным бухгалтерской (финансовой) отчетности эмитента или указанной организации на последнюю отчетную дату (дату окончания последнего завершенного отчетного периода, предшествующего дате совершения сделки</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совершении эмитентом или подконтрольной эмитенту организацией, имеющей для него существенное значение, сделки, в совершении которой имеется заинтересованность, соответствующей признакам, указанным в пункте 35.1 Положения Банка России N 714-П</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об изменении состава и (или) размера предмета залога по облигациям эмитента с залоговым обеспечением, а в случае изменения состава и (или) размера предмета залога по облигациям эмитента с ипотечным покрытием - сведения об указанных изменениях, если они вызваны заменой любого обеспеченного залогом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 более процентов от размера ипотечного покрытия облигаций</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получении эмитентом или прекращении у эмитента права прямо или косвенно (через подконтрольных ему лиц) самостоятельно или совместно с иными лицами, связанными с эмитентом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ценные бумаги которой допущены к организованным торгам,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заключении контролирующим эмитента лицом или подконтрольной эмитенту организацией договора, предусматривающего обязанность приобретать ценные бумаги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присвоении рейтинга ценным бумагам и (или) их эмитенту, а также об изменении рейтинга кредитным рейтинговым агентством или иной организацией на основании заключенного с эмитентом договора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lastRenderedPageBreak/>
        <w:t>Информация о возбуждении производства по делу в суде по спору, связанному с созданием эмитента, управлением им или участием в нем (далее - корпоративный спор), или иному спору, истцом или ответчиком по которому является эмитент и размер требований по которому составляет 10 и более процентов балансовой стоимости активов, определенной по данным бухгалтерской (финансовой) отчетности эмитента на последнюю отчетную дату (дату окончания последнего завершенного отчетного периода, предшествующего дате принятия судом искового заявления к производству) (далее - существенный спор), а также о принятии судебного акта, которым заканчивается рассмотрение дела по существу по корпоративному спору или существенному спору, за исключением информации, указанной в пункте 41.6 Положения Банка России N 714-П</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 xml:space="preserve">Информация о решении Банка России об освобождении эмитента от обязанности осуществлять раскрытие информации в соответствии со статьей 30 Федерального закона </w:t>
      </w:r>
      <w:r>
        <w:rPr>
          <w:rFonts w:ascii="Times New Roman" w:hAnsi="Times New Roman" w:cs="Times New Roman"/>
        </w:rPr>
        <w:t xml:space="preserve">от 22 апреля 1996 года </w:t>
      </w:r>
      <w:r w:rsidRPr="009C3CC2">
        <w:rPr>
          <w:rFonts w:ascii="Times New Roman" w:hAnsi="Times New Roman" w:cs="Times New Roman"/>
        </w:rPr>
        <w:t>"О рынке ценных бумаг"</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приобретении (отчуждении) голосующих акций (долей) эмитента или депозитарных ценных бумаг, удостоверяющих права в отношении голосующих акций эмитента, эмитентом или подконтрольной эмитенту организацией, за исключением случаев приобретения голосующих акций эмитента (депозитарных ценных бумаг, удостоверяющих права в отношении голосующих акций эмитента) в процессе размещения голосующих акций эмитента или приобретения (отчуждения) голосующих акций эмитента (депозитарных ценных бумаг, удостоверяющих права в отношении голосующих акций эмитента) брокером и (или) доверительным управляющим, действующими от своего имени, но за счет клиента во исполнение поручения клиента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проведении и повестке дня общего собрания владельцев облигаций эмитента, о решениях, принятых общим собранием владельцев облигаций эмитента, а также об объявлении общего собрания владельцев облигаций эмитента несостоявшимся</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об определении эмитентом облигаций представителя владельцев облигаций после регистрации выпуска облигаций</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дате, с которой представитель владельцев облигаций осуществляет свои полномочия</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заключении эмитентом соглашения о новации или предоставлении отступного, влекущего прекращение обязательств по облигациям эмитента</w:t>
      </w:r>
    </w:p>
    <w:p w:rsidR="002A4A96" w:rsidRDefault="002A4A96" w:rsidP="002A4A96">
      <w:pPr>
        <w:pStyle w:val="a7"/>
        <w:numPr>
          <w:ilvl w:val="0"/>
          <w:numId w:val="3"/>
        </w:numPr>
        <w:spacing w:after="0"/>
        <w:jc w:val="both"/>
        <w:rPr>
          <w:rFonts w:ascii="Times New Roman" w:hAnsi="Times New Roman" w:cs="Times New Roman"/>
        </w:rPr>
      </w:pPr>
      <w:r w:rsidRPr="00DD55F4">
        <w:rPr>
          <w:rFonts w:ascii="Times New Roman" w:hAnsi="Times New Roman" w:cs="Times New Roman"/>
        </w:rPr>
        <w:t>Об иных событиях (действиях), оказывающих, по мнению эмитента, существенное влияние на стоимость или котировки его ценных бумаг.</w:t>
      </w:r>
    </w:p>
    <w:p w:rsidR="002A4A96" w:rsidRPr="009852D7" w:rsidRDefault="002A4A96" w:rsidP="002A4A96">
      <w:pPr>
        <w:pStyle w:val="a7"/>
        <w:numPr>
          <w:ilvl w:val="0"/>
          <w:numId w:val="3"/>
        </w:numPr>
        <w:spacing w:after="0"/>
        <w:jc w:val="both"/>
        <w:rPr>
          <w:rFonts w:ascii="Times New Roman" w:hAnsi="Times New Roman" w:cs="Times New Roman"/>
        </w:rPr>
      </w:pPr>
      <w:r w:rsidRPr="009852D7">
        <w:rPr>
          <w:rFonts w:ascii="Times New Roman" w:hAnsi="Times New Roman" w:cs="Times New Roman"/>
        </w:rPr>
        <w:t>Информация, составляющая годовую консолидированную финансовую отчетность (финансовую отчетность) эмитента, промежуточную консолидированную финансовую отчетность (финансовую отчетность) эмитента за отчетный период, состоящий из 6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(финансовой отчетности) в соответствии со стандартами аудиторской деятельности</w:t>
      </w:r>
    </w:p>
    <w:p w:rsidR="002A4A96" w:rsidRPr="00D47077" w:rsidRDefault="002A4A96" w:rsidP="002A4A96">
      <w:pPr>
        <w:pStyle w:val="a7"/>
        <w:numPr>
          <w:ilvl w:val="0"/>
          <w:numId w:val="3"/>
        </w:numPr>
        <w:jc w:val="both"/>
        <w:rPr>
          <w:rFonts w:ascii="Times New Roman" w:hAnsi="Times New Roman" w:cs="Times New Roman"/>
        </w:rPr>
      </w:pPr>
      <w:r w:rsidRPr="00D47077">
        <w:rPr>
          <w:rFonts w:ascii="Times New Roman" w:hAnsi="Times New Roman" w:cs="Times New Roman"/>
        </w:rPr>
        <w:t>Информация, составляющая годовую бухгалтерскую (финансовую) отчетность эмитента, вместе с информацией, содержащейся в аудиторском заключении, подготовленном в отношении указанной отчетности, если в отношении указанной отчетности проведен аудит</w:t>
      </w:r>
    </w:p>
    <w:p w:rsidR="002A4A96" w:rsidRPr="005437E2" w:rsidRDefault="002A4A96" w:rsidP="002A4A96">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составляющая промежуточную бухгалтерскую (финансовую) отчетность эмитента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 а также информация, составляющая годовую бухгалтерскую (финансовую) отчетность эмитента, вместе с аудиторским заключением о ней, если в отношении нее проведен аудит</w:t>
      </w:r>
    </w:p>
    <w:p w:rsidR="002A4A96" w:rsidRDefault="002A4A96" w:rsidP="002A4A96">
      <w:pPr>
        <w:pStyle w:val="a7"/>
        <w:numPr>
          <w:ilvl w:val="0"/>
          <w:numId w:val="3"/>
        </w:numPr>
        <w:spacing w:after="0"/>
        <w:jc w:val="both"/>
        <w:rPr>
          <w:rFonts w:ascii="Times New Roman" w:hAnsi="Times New Roman" w:cs="Times New Roman"/>
        </w:rPr>
      </w:pPr>
      <w:r w:rsidRPr="005437E2">
        <w:rPr>
          <w:rFonts w:ascii="Times New Roman" w:hAnsi="Times New Roman" w:cs="Times New Roman"/>
        </w:rPr>
        <w:t xml:space="preserve">Информация, содержащаяся в отчетах эмитентов эмиссионных ценных бумаг, </w:t>
      </w:r>
      <w:r w:rsidRPr="00A123B5">
        <w:rPr>
          <w:rFonts w:ascii="Times New Roman" w:hAnsi="Times New Roman" w:cs="Times New Roman"/>
        </w:rPr>
        <w:t>за исключением информации, которая ранее уже была раскрыта</w:t>
      </w:r>
    </w:p>
    <w:p w:rsidR="002A4A96" w:rsidRPr="005437E2" w:rsidRDefault="002A4A96" w:rsidP="002A4A96">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содержащаяся в проспекте ценных бумаг эмитента, за исключением информации, которая ранее уже была раскрыта</w:t>
      </w:r>
    </w:p>
    <w:p w:rsidR="002A4A96" w:rsidRPr="005437E2" w:rsidRDefault="002A4A96" w:rsidP="002A4A96">
      <w:pPr>
        <w:pStyle w:val="a7"/>
        <w:numPr>
          <w:ilvl w:val="0"/>
          <w:numId w:val="3"/>
        </w:numPr>
        <w:spacing w:after="0"/>
        <w:jc w:val="both"/>
        <w:rPr>
          <w:rFonts w:ascii="Times New Roman" w:hAnsi="Times New Roman" w:cs="Times New Roman"/>
        </w:rPr>
      </w:pPr>
      <w:r w:rsidRPr="005437E2">
        <w:rPr>
          <w:rFonts w:ascii="Times New Roman" w:hAnsi="Times New Roman" w:cs="Times New Roman"/>
        </w:rPr>
        <w:lastRenderedPageBreak/>
        <w:t>Информация, составляющая условия размещения ценных бумаг, определенные эмитентом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p>
    <w:p w:rsidR="002A4A96" w:rsidRPr="005437E2" w:rsidRDefault="002A4A96" w:rsidP="002A4A96">
      <w:pPr>
        <w:pStyle w:val="a7"/>
        <w:numPr>
          <w:ilvl w:val="0"/>
          <w:numId w:val="3"/>
        </w:numPr>
        <w:spacing w:after="0"/>
        <w:jc w:val="both"/>
        <w:rPr>
          <w:rFonts w:ascii="Times New Roman" w:hAnsi="Times New Roman" w:cs="Times New Roman"/>
        </w:rPr>
      </w:pPr>
      <w:r w:rsidRPr="00CC319F">
        <w:rPr>
          <w:rFonts w:ascii="Times New Roman" w:hAnsi="Times New Roman" w:cs="Times New Roman"/>
        </w:rPr>
        <w:t>Информация о заключении эмитентом договора (сделки), за исключением договоров (сделок), предусмотренных подпунктами 13.9.21, 13.9.22 и 13.9.27 пункта 13.9 Положения Банка России № 714-П, если заключение такого договора (сделки) может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w:t>
      </w:r>
    </w:p>
    <w:p w:rsidR="002A4A96" w:rsidRDefault="002A4A96" w:rsidP="002A4A96">
      <w:pPr>
        <w:pStyle w:val="a7"/>
        <w:numPr>
          <w:ilvl w:val="0"/>
          <w:numId w:val="3"/>
        </w:numPr>
        <w:spacing w:after="0"/>
        <w:jc w:val="both"/>
        <w:rPr>
          <w:rFonts w:ascii="Times New Roman" w:hAnsi="Times New Roman" w:cs="Times New Roman"/>
        </w:rPr>
      </w:pPr>
      <w:r w:rsidRPr="00CC319F">
        <w:rPr>
          <w:rFonts w:ascii="Times New Roman" w:hAnsi="Times New Roman" w:cs="Times New Roman"/>
        </w:rPr>
        <w:t>Информация о принятии судом, арбитражным судом, Федеральной службой судебных приставов обеспечительных мер (в том числе наложении ареста) в отношении денежных средств или иного имущества, принадлежащего эмитенту, контролирующей его организации, подконтрольной эмитенту организации, имеющей для него существенное значение, либо предоставившему обеспечение по допущенным к организованным торгам (в отношении которых подана заявка о допуске к организованным торгам) облигациям эмитента лицу, не являющемуся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составляющих 10 или более процентов балансовой стоимости активов указанных лиц на день окончания последнего завершенного отчетного периода, предшествующего принятию обеспечительных мер</w:t>
      </w:r>
    </w:p>
    <w:p w:rsidR="002A4A96" w:rsidRPr="00CC319F" w:rsidRDefault="002A4A96" w:rsidP="002A4A96">
      <w:pPr>
        <w:pStyle w:val="a7"/>
        <w:numPr>
          <w:ilvl w:val="0"/>
          <w:numId w:val="3"/>
        </w:numPr>
        <w:spacing w:after="0"/>
        <w:jc w:val="both"/>
        <w:rPr>
          <w:rFonts w:ascii="Times New Roman" w:hAnsi="Times New Roman" w:cs="Times New Roman"/>
        </w:rPr>
      </w:pPr>
      <w:r w:rsidRPr="00CC319F">
        <w:rPr>
          <w:rFonts w:ascii="Times New Roman" w:hAnsi="Times New Roman" w:cs="Times New Roman"/>
        </w:rPr>
        <w:t>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эмитента, 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p w:rsidR="002A4A96" w:rsidRPr="005437E2" w:rsidRDefault="002A4A96" w:rsidP="002A4A96">
      <w:pPr>
        <w:pStyle w:val="a7"/>
        <w:numPr>
          <w:ilvl w:val="0"/>
          <w:numId w:val="3"/>
        </w:numPr>
        <w:spacing w:after="0"/>
        <w:jc w:val="both"/>
        <w:rPr>
          <w:rFonts w:ascii="Times New Roman" w:hAnsi="Times New Roman" w:cs="Times New Roman"/>
        </w:rPr>
      </w:pPr>
      <w:r w:rsidRPr="002C4E6F">
        <w:rPr>
          <w:rFonts w:ascii="Times New Roman" w:hAnsi="Times New Roman" w:cs="Times New Roman"/>
        </w:rPr>
        <w:t>Информация, поступившая эмитенту от органов предварительного следствия или органов дознания, о возбуждении уголовного дела в отношении лица, входящего в состав органов управления эмитента, организации, контролирующей эмитента, подконтрольной эмитенту организации, имеющей для него существенное значение, либо лица, предоставившего обеспечение по облигациям эмитента, допущенным к организованным торгам (в отношении которых подана заявка о допуске к организованным торгам)</w:t>
      </w:r>
    </w:p>
    <w:p w:rsidR="002A4A96" w:rsidRDefault="002A4A96" w:rsidP="002A4A96">
      <w:pPr>
        <w:pStyle w:val="a7"/>
        <w:numPr>
          <w:ilvl w:val="0"/>
          <w:numId w:val="3"/>
        </w:numPr>
        <w:spacing w:after="0"/>
        <w:jc w:val="both"/>
        <w:rPr>
          <w:rFonts w:ascii="Times New Roman" w:hAnsi="Times New Roman" w:cs="Times New Roman"/>
        </w:rPr>
      </w:pPr>
      <w:r w:rsidRPr="002C4E6F">
        <w:rPr>
          <w:rFonts w:ascii="Times New Roman" w:hAnsi="Times New Roman" w:cs="Times New Roman"/>
        </w:rPr>
        <w:t>Информация, содержащаяся в материалах, на основании которых органами управления эмитента, за исключением общего собрания акционеров, принимаются решения, которые могут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 за исключением информации, которая ранее уже была раскрыта</w:t>
      </w:r>
    </w:p>
    <w:p w:rsidR="002A4A96" w:rsidRPr="005437E2" w:rsidRDefault="002A4A96" w:rsidP="002A4A96">
      <w:pPr>
        <w:pStyle w:val="a7"/>
        <w:numPr>
          <w:ilvl w:val="0"/>
          <w:numId w:val="3"/>
        </w:numPr>
        <w:spacing w:after="0"/>
        <w:jc w:val="both"/>
        <w:rPr>
          <w:rFonts w:ascii="Times New Roman" w:hAnsi="Times New Roman" w:cs="Times New Roman"/>
        </w:rPr>
      </w:pPr>
      <w:r w:rsidRPr="002C4E6F">
        <w:rPr>
          <w:rFonts w:ascii="Times New Roman" w:hAnsi="Times New Roman" w:cs="Times New Roman"/>
        </w:rPr>
        <w:t xml:space="preserve">Информация об авариях, произошедших на эксплуатируемых эмитентом опасных производственных объектах, определяемых в соответствии с Федеральным законом от 21 июля 1997 года № 116-ФЗ "О промышленной безопасности опасных производственных объектов" (далее - аварии), если такая информация может оказать существенное влияние на цену ценных бумаг </w:t>
      </w:r>
      <w:r w:rsidRPr="002C4E6F">
        <w:rPr>
          <w:rFonts w:ascii="Times New Roman" w:hAnsi="Times New Roman" w:cs="Times New Roman"/>
        </w:rPr>
        <w:lastRenderedPageBreak/>
        <w:t>эмитента, допущенных к организованным торгам (в отношении которых подана заявка о допуске к организованным торгам)</w:t>
      </w:r>
    </w:p>
    <w:p w:rsidR="002A4A96" w:rsidRPr="005437E2" w:rsidRDefault="002A4A96" w:rsidP="002A4A96">
      <w:pPr>
        <w:spacing w:after="0"/>
        <w:jc w:val="both"/>
        <w:rPr>
          <w:rFonts w:ascii="Times New Roman" w:eastAsia="Times New Roman" w:hAnsi="Times New Roman" w:cs="Times New Roman"/>
          <w:lang w:eastAsia="ru-RU"/>
        </w:rPr>
      </w:pPr>
    </w:p>
    <w:p w:rsidR="00A341A1" w:rsidRPr="001369AB" w:rsidRDefault="00A341A1" w:rsidP="002A4A96">
      <w:pPr>
        <w:spacing w:after="0"/>
        <w:ind w:firstLine="567"/>
        <w:jc w:val="both"/>
        <w:rPr>
          <w:rFonts w:ascii="Times New Roman" w:eastAsia="Times New Roman" w:hAnsi="Times New Roman" w:cs="Times New Roman"/>
          <w:lang w:eastAsia="ru-RU"/>
        </w:rPr>
      </w:pPr>
    </w:p>
    <w:sectPr w:rsidR="00A341A1" w:rsidRPr="001369AB" w:rsidSect="00101EA8">
      <w:footerReference w:type="default" r:id="rId8"/>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CE2" w:rsidRPr="00CD05F6" w:rsidRDefault="00573CE2" w:rsidP="00ED14ED">
      <w:pPr>
        <w:spacing w:after="0" w:line="240" w:lineRule="auto"/>
        <w:rPr>
          <w:rFonts w:ascii="Times New Roman" w:hAnsi="Times New Roman" w:cs="Times New Roman"/>
          <w:sz w:val="24"/>
          <w:szCs w:val="24"/>
        </w:rPr>
      </w:pPr>
      <w:r>
        <w:separator/>
      </w:r>
    </w:p>
  </w:endnote>
  <w:endnote w:type="continuationSeparator" w:id="0">
    <w:p w:rsidR="00573CE2" w:rsidRPr="00CD05F6" w:rsidRDefault="00573CE2" w:rsidP="00ED14ED">
      <w:pPr>
        <w:spacing w:after="0" w:line="240" w:lineRule="auto"/>
        <w:rPr>
          <w:rFonts w:ascii="Times New Roman" w:hAnsi="Times New Roman" w:cs="Times New Roman"/>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033161"/>
      <w:docPartObj>
        <w:docPartGallery w:val="Page Numbers (Bottom of Page)"/>
        <w:docPartUnique/>
      </w:docPartObj>
    </w:sdtPr>
    <w:sdtEndPr/>
    <w:sdtContent>
      <w:p w:rsidR="00B866E9" w:rsidRDefault="000C630F">
        <w:pPr>
          <w:pStyle w:val="a5"/>
          <w:jc w:val="right"/>
        </w:pPr>
        <w:r>
          <w:fldChar w:fldCharType="begin"/>
        </w:r>
        <w:r>
          <w:instrText xml:space="preserve"> PAGE   \* MERGEFORMAT </w:instrText>
        </w:r>
        <w:r>
          <w:fldChar w:fldCharType="separate"/>
        </w:r>
        <w:r w:rsidR="00FE490F">
          <w:rPr>
            <w:noProof/>
          </w:rPr>
          <w:t>1</w:t>
        </w:r>
        <w:r>
          <w:rPr>
            <w:noProof/>
          </w:rPr>
          <w:fldChar w:fldCharType="end"/>
        </w:r>
      </w:p>
    </w:sdtContent>
  </w:sdt>
  <w:p w:rsidR="00B866E9" w:rsidRDefault="00B866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CE2" w:rsidRPr="00CD05F6" w:rsidRDefault="00573CE2" w:rsidP="00ED14ED">
      <w:pPr>
        <w:spacing w:after="0" w:line="240" w:lineRule="auto"/>
        <w:rPr>
          <w:rFonts w:ascii="Times New Roman" w:hAnsi="Times New Roman" w:cs="Times New Roman"/>
          <w:sz w:val="24"/>
          <w:szCs w:val="24"/>
        </w:rPr>
      </w:pPr>
      <w:r>
        <w:separator/>
      </w:r>
    </w:p>
  </w:footnote>
  <w:footnote w:type="continuationSeparator" w:id="0">
    <w:p w:rsidR="00573CE2" w:rsidRPr="00CD05F6" w:rsidRDefault="00573CE2" w:rsidP="00ED14ED">
      <w:pPr>
        <w:spacing w:after="0" w:line="240" w:lineRule="auto"/>
        <w:rPr>
          <w:rFonts w:ascii="Times New Roman" w:hAnsi="Times New Roman" w:cs="Times New Roman"/>
          <w:sz w:val="24"/>
          <w:szCs w:val="24"/>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4081"/>
    <w:multiLevelType w:val="hybridMultilevel"/>
    <w:tmpl w:val="AAEEDB7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81CEC"/>
    <w:multiLevelType w:val="hybridMultilevel"/>
    <w:tmpl w:val="7DBAB5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FE2580"/>
    <w:multiLevelType w:val="hybridMultilevel"/>
    <w:tmpl w:val="C3F642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8873B8F"/>
    <w:multiLevelType w:val="hybridMultilevel"/>
    <w:tmpl w:val="4A587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BE6B47"/>
    <w:multiLevelType w:val="hybridMultilevel"/>
    <w:tmpl w:val="4A587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E269AE"/>
    <w:multiLevelType w:val="hybridMultilevel"/>
    <w:tmpl w:val="2C700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49"/>
    <w:rsid w:val="00042F47"/>
    <w:rsid w:val="00053ABD"/>
    <w:rsid w:val="00073A1F"/>
    <w:rsid w:val="00074649"/>
    <w:rsid w:val="00081881"/>
    <w:rsid w:val="000C31BE"/>
    <w:rsid w:val="000C630F"/>
    <w:rsid w:val="000E0CEF"/>
    <w:rsid w:val="00101EA8"/>
    <w:rsid w:val="00112E3E"/>
    <w:rsid w:val="001369AB"/>
    <w:rsid w:val="0015064F"/>
    <w:rsid w:val="00224D3B"/>
    <w:rsid w:val="00235E6E"/>
    <w:rsid w:val="002539F6"/>
    <w:rsid w:val="00264346"/>
    <w:rsid w:val="00277C51"/>
    <w:rsid w:val="002A4A96"/>
    <w:rsid w:val="002A7613"/>
    <w:rsid w:val="002C7191"/>
    <w:rsid w:val="00302B3A"/>
    <w:rsid w:val="00314A97"/>
    <w:rsid w:val="003C5B73"/>
    <w:rsid w:val="004034A9"/>
    <w:rsid w:val="004035FE"/>
    <w:rsid w:val="004235DC"/>
    <w:rsid w:val="00442BCB"/>
    <w:rsid w:val="004436A1"/>
    <w:rsid w:val="00466740"/>
    <w:rsid w:val="00510638"/>
    <w:rsid w:val="005124AD"/>
    <w:rsid w:val="00512762"/>
    <w:rsid w:val="00527158"/>
    <w:rsid w:val="005437E2"/>
    <w:rsid w:val="00543891"/>
    <w:rsid w:val="00545E52"/>
    <w:rsid w:val="005668C1"/>
    <w:rsid w:val="00573CE2"/>
    <w:rsid w:val="00576F52"/>
    <w:rsid w:val="0059350D"/>
    <w:rsid w:val="005A3D81"/>
    <w:rsid w:val="005B4B50"/>
    <w:rsid w:val="005D16E4"/>
    <w:rsid w:val="006260C4"/>
    <w:rsid w:val="00641FB1"/>
    <w:rsid w:val="00650AC1"/>
    <w:rsid w:val="006A2E7F"/>
    <w:rsid w:val="006A4B32"/>
    <w:rsid w:val="006C232D"/>
    <w:rsid w:val="006C41E1"/>
    <w:rsid w:val="006D6B61"/>
    <w:rsid w:val="00763727"/>
    <w:rsid w:val="007823E7"/>
    <w:rsid w:val="0079041B"/>
    <w:rsid w:val="007B5B32"/>
    <w:rsid w:val="007D780C"/>
    <w:rsid w:val="00861418"/>
    <w:rsid w:val="00883706"/>
    <w:rsid w:val="00894238"/>
    <w:rsid w:val="008B1CAE"/>
    <w:rsid w:val="008B22EF"/>
    <w:rsid w:val="008C75AC"/>
    <w:rsid w:val="008F34D4"/>
    <w:rsid w:val="00934AC8"/>
    <w:rsid w:val="009601F0"/>
    <w:rsid w:val="00965E5D"/>
    <w:rsid w:val="009754FA"/>
    <w:rsid w:val="009A2E2B"/>
    <w:rsid w:val="009A6D2E"/>
    <w:rsid w:val="009E74AA"/>
    <w:rsid w:val="00A1613E"/>
    <w:rsid w:val="00A341A1"/>
    <w:rsid w:val="00A44791"/>
    <w:rsid w:val="00A46952"/>
    <w:rsid w:val="00A71915"/>
    <w:rsid w:val="00A90AFC"/>
    <w:rsid w:val="00A97B3B"/>
    <w:rsid w:val="00AA350D"/>
    <w:rsid w:val="00AD15B5"/>
    <w:rsid w:val="00AF61E7"/>
    <w:rsid w:val="00B0184B"/>
    <w:rsid w:val="00B24DD9"/>
    <w:rsid w:val="00B31411"/>
    <w:rsid w:val="00B75AF2"/>
    <w:rsid w:val="00B829CA"/>
    <w:rsid w:val="00B866E9"/>
    <w:rsid w:val="00B921C6"/>
    <w:rsid w:val="00B96731"/>
    <w:rsid w:val="00BA6346"/>
    <w:rsid w:val="00BB11B0"/>
    <w:rsid w:val="00BB786A"/>
    <w:rsid w:val="00C03B0A"/>
    <w:rsid w:val="00C36A23"/>
    <w:rsid w:val="00C70C2B"/>
    <w:rsid w:val="00C73871"/>
    <w:rsid w:val="00CD577B"/>
    <w:rsid w:val="00D32022"/>
    <w:rsid w:val="00D65C7B"/>
    <w:rsid w:val="00D81EEC"/>
    <w:rsid w:val="00D940D5"/>
    <w:rsid w:val="00DD273E"/>
    <w:rsid w:val="00DE6AD8"/>
    <w:rsid w:val="00E23476"/>
    <w:rsid w:val="00E52409"/>
    <w:rsid w:val="00E62A27"/>
    <w:rsid w:val="00E66C29"/>
    <w:rsid w:val="00E73C1B"/>
    <w:rsid w:val="00EB6025"/>
    <w:rsid w:val="00ED14ED"/>
    <w:rsid w:val="00EE13A1"/>
    <w:rsid w:val="00EE43CB"/>
    <w:rsid w:val="00F006C6"/>
    <w:rsid w:val="00F83544"/>
    <w:rsid w:val="00F906C8"/>
    <w:rsid w:val="00FA22D3"/>
    <w:rsid w:val="00FA6E59"/>
    <w:rsid w:val="00FB12A1"/>
    <w:rsid w:val="00FC1F05"/>
    <w:rsid w:val="00FD5B8A"/>
    <w:rsid w:val="00FD7F96"/>
    <w:rsid w:val="00FE4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E010"/>
  <w15:docId w15:val="{12BC73E8-4677-41B9-90CA-2D93A3F2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ind w:firstLine="53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3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14ED"/>
    <w:pPr>
      <w:widowControl w:val="0"/>
      <w:autoSpaceDE w:val="0"/>
      <w:autoSpaceDN w:val="0"/>
      <w:adjustRightInd w:val="0"/>
      <w:spacing w:after="0" w:line="240" w:lineRule="auto"/>
      <w:ind w:firstLine="0"/>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ED14E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D14ED"/>
  </w:style>
  <w:style w:type="paragraph" w:styleId="a5">
    <w:name w:val="footer"/>
    <w:basedOn w:val="a"/>
    <w:link w:val="a6"/>
    <w:uiPriority w:val="99"/>
    <w:unhideWhenUsed/>
    <w:rsid w:val="00ED14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14ED"/>
  </w:style>
  <w:style w:type="paragraph" w:styleId="a7">
    <w:name w:val="List Paragraph"/>
    <w:basedOn w:val="a"/>
    <w:uiPriority w:val="34"/>
    <w:qFormat/>
    <w:rsid w:val="00101EA8"/>
    <w:pPr>
      <w:ind w:left="720"/>
      <w:contextualSpacing/>
    </w:pPr>
  </w:style>
  <w:style w:type="paragraph" w:styleId="a8">
    <w:name w:val="footnote text"/>
    <w:basedOn w:val="a"/>
    <w:link w:val="a9"/>
    <w:uiPriority w:val="99"/>
    <w:semiHidden/>
    <w:unhideWhenUsed/>
    <w:rsid w:val="00B866E9"/>
    <w:pPr>
      <w:spacing w:after="0" w:line="240" w:lineRule="auto"/>
    </w:pPr>
    <w:rPr>
      <w:sz w:val="20"/>
      <w:szCs w:val="20"/>
    </w:rPr>
  </w:style>
  <w:style w:type="character" w:customStyle="1" w:styleId="a9">
    <w:name w:val="Текст сноски Знак"/>
    <w:basedOn w:val="a0"/>
    <w:link w:val="a8"/>
    <w:uiPriority w:val="99"/>
    <w:semiHidden/>
    <w:rsid w:val="00B866E9"/>
    <w:rPr>
      <w:sz w:val="20"/>
      <w:szCs w:val="20"/>
    </w:rPr>
  </w:style>
  <w:style w:type="character" w:styleId="aa">
    <w:name w:val="footnote reference"/>
    <w:basedOn w:val="a0"/>
    <w:uiPriority w:val="99"/>
    <w:semiHidden/>
    <w:unhideWhenUsed/>
    <w:rsid w:val="00B866E9"/>
    <w:rPr>
      <w:vertAlign w:val="superscript"/>
    </w:rPr>
  </w:style>
  <w:style w:type="character" w:customStyle="1" w:styleId="ab">
    <w:name w:val="Гипертекстовая ссылка"/>
    <w:basedOn w:val="a0"/>
    <w:uiPriority w:val="99"/>
    <w:rsid w:val="00A46952"/>
    <w:rPr>
      <w:b/>
      <w:bCs/>
      <w:color w:val="106BBE"/>
    </w:rPr>
  </w:style>
  <w:style w:type="paragraph" w:customStyle="1" w:styleId="ac">
    <w:name w:val="Нормальный (таблица)"/>
    <w:basedOn w:val="a"/>
    <w:next w:val="a"/>
    <w:uiPriority w:val="99"/>
    <w:rsid w:val="00A46952"/>
    <w:pPr>
      <w:widowControl w:val="0"/>
      <w:autoSpaceDE w:val="0"/>
      <w:autoSpaceDN w:val="0"/>
      <w:adjustRightInd w:val="0"/>
      <w:spacing w:after="0" w:line="240" w:lineRule="auto"/>
      <w:ind w:firstLine="0"/>
      <w:jc w:val="both"/>
    </w:pPr>
    <w:rPr>
      <w:rFonts w:ascii="Times New Roman CYR" w:eastAsiaTheme="minorEastAsia" w:hAnsi="Times New Roman CYR" w:cs="Times New Roman CYR"/>
      <w:sz w:val="24"/>
      <w:szCs w:val="24"/>
      <w:lang w:eastAsia="ru-RU"/>
    </w:rPr>
  </w:style>
  <w:style w:type="character" w:styleId="ad">
    <w:name w:val="Hyperlink"/>
    <w:basedOn w:val="a0"/>
    <w:uiPriority w:val="99"/>
    <w:unhideWhenUsed/>
    <w:rsid w:val="003C5B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146920">
      <w:bodyDiv w:val="1"/>
      <w:marLeft w:val="0"/>
      <w:marRight w:val="0"/>
      <w:marTop w:val="0"/>
      <w:marBottom w:val="0"/>
      <w:divBdr>
        <w:top w:val="none" w:sz="0" w:space="0" w:color="auto"/>
        <w:left w:val="none" w:sz="0" w:space="0" w:color="auto"/>
        <w:bottom w:val="none" w:sz="0" w:space="0" w:color="auto"/>
        <w:right w:val="none" w:sz="0" w:space="0" w:color="auto"/>
      </w:divBdr>
    </w:div>
    <w:div w:id="735662897">
      <w:bodyDiv w:val="1"/>
      <w:marLeft w:val="0"/>
      <w:marRight w:val="0"/>
      <w:marTop w:val="0"/>
      <w:marBottom w:val="0"/>
      <w:divBdr>
        <w:top w:val="none" w:sz="0" w:space="0" w:color="auto"/>
        <w:left w:val="none" w:sz="0" w:space="0" w:color="auto"/>
        <w:bottom w:val="none" w:sz="0" w:space="0" w:color="auto"/>
        <w:right w:val="none" w:sz="0" w:space="0" w:color="auto"/>
      </w:divBdr>
    </w:div>
    <w:div w:id="1537351245">
      <w:bodyDiv w:val="1"/>
      <w:marLeft w:val="0"/>
      <w:marRight w:val="0"/>
      <w:marTop w:val="0"/>
      <w:marBottom w:val="0"/>
      <w:divBdr>
        <w:top w:val="none" w:sz="0" w:space="0" w:color="auto"/>
        <w:left w:val="none" w:sz="0" w:space="0" w:color="auto"/>
        <w:bottom w:val="none" w:sz="0" w:space="0" w:color="auto"/>
        <w:right w:val="none" w:sz="0" w:space="0" w:color="auto"/>
      </w:divBdr>
    </w:div>
    <w:div w:id="18209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6D489-E90D-49CA-8EC6-3D6E7BD31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2436</Words>
  <Characters>13886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Медведев Никита Андреевич</cp:lastModifiedBy>
  <cp:revision>7</cp:revision>
  <dcterms:created xsi:type="dcterms:W3CDTF">2025-11-20T09:33:00Z</dcterms:created>
  <dcterms:modified xsi:type="dcterms:W3CDTF">2026-04-02T09:37:00Z</dcterms:modified>
</cp:coreProperties>
</file>